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"/>
        <w:spacing w:before="240" w:after="120"/>
        <w:jc w:val="both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zev1"/>
        <w:jc w:val="center"/>
        <w:rPr/>
      </w:pPr>
      <w:r>
        <w:rPr/>
        <w:t>GEODÉZIE KRKONOŠE s.r.o.</w: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  <mc:AlternateContent>
          <mc:Choice Requires="wpg">
            <w:drawing>
              <wp:anchor behindDoc="0" distT="5080" distB="5080" distL="5080" distR="5080" simplePos="0" locked="0" layoutInCell="0" allowOverlap="1" relativeHeight="5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3040" cy="1296670"/>
                <wp:effectExtent l="5080" t="5080" r="5080" b="5080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0" cy="1296720"/>
                          <a:chOff x="0" y="0"/>
                          <a:chExt cx="1463040" cy="1296720"/>
                        </a:xfrm>
                      </wpg:grpSpPr>
                      <wpg:grpSp>
                        <wpg:cNvGrpSpPr/>
                        <wpg:grpSpPr>
                          <a:xfrm>
                            <a:off x="91440" y="91440"/>
                            <a:ext cx="1271160" cy="110664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64480" cy="3916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0">
                              <a:solidFill>
                                <a:srgbClr val="0000ff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3600" cy="4546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0">
                              <a:solidFill>
                                <a:srgbClr val="0000ff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2120"/>
                              <a:ext cx="1130760" cy="6789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5280"/>
                              <a:ext cx="966960" cy="1814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95160"/>
                              <a:ext cx="694080" cy="2876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2400"/>
                              <a:ext cx="792000" cy="318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40080"/>
                              <a:ext cx="700560" cy="4665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32480"/>
                              <a:ext cx="537120" cy="741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806400"/>
                              <a:ext cx="631080" cy="231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3040" cy="129672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1pt;margin-top:-39.55pt;width:115.2pt;height:102.1pt" coordorigin="3922,-791" coordsize="2304,2042">
                <v:group id="shape_0" style="position:absolute;left:4066;top:-647;width:2002;height:1743"/>
                <v:rect id="shape_0" path="m0,0l-2147483645,0l-2147483645,-2147483646l0,-2147483646xe" stroked="t" o:allowincell="f" style="position:absolute;left:3922;top:-791;width:2303;height:2041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Nzev1"/>
        <w:jc w:val="center"/>
        <w:rPr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>Rekonstrukce mostu v km 21,510</w:t>
      </w:r>
    </w:p>
    <w:p>
      <w:pPr>
        <w:pStyle w:val="Nzev1"/>
        <w:jc w:val="center"/>
        <w:rPr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>na trati Tábor – Písek</w:t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Tlotextu"/>
        <w:jc w:val="center"/>
        <w:rPr/>
      </w:pPr>
      <w:r>
        <w:rPr/>
      </w:r>
    </w:p>
    <w:p>
      <w:pPr>
        <w:pStyle w:val="Nzev1"/>
        <w:jc w:val="center"/>
        <w:rPr>
          <w:b/>
          <w:b/>
          <w:bCs/>
        </w:rPr>
      </w:pPr>
      <w:r>
        <w:rPr>
          <w:b/>
          <w:bCs/>
        </w:rPr>
        <w:t>N.1.5.2.1 - MAJETKOPRÁVNÍ ČÁST</w:t>
      </w:r>
    </w:p>
    <w:p>
      <w:pPr>
        <w:pStyle w:val="Nzev1"/>
        <w:jc w:val="center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>(ZÁBOROVÝ ELABORÁT)</w:t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312" w:charSpace="0"/>
        </w:sectPr>
        <w:pStyle w:val="Nzev1"/>
        <w:jc w:val="center"/>
        <w:rPr>
          <w:b/>
          <w:b/>
          <w:bCs/>
        </w:rPr>
      </w:pPr>
      <w:r>
        <w:rPr>
          <w:b/>
          <w:bCs/>
        </w:rPr>
        <w:tab/>
        <w:t>PÍSEMNÁ ČÁST</w:t>
      </w:r>
    </w:p>
    <w:p>
      <w:pPr>
        <w:pStyle w:val="Tlotextu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Záborový elaborát byl vypracován dle metodického pokynu SŽ M20/MP013 Záborový elaborát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/>
          <w:bCs/>
          <w:color w:val="auto"/>
        </w:rPr>
        <w:t>1. Identifikační údaje</w:t>
      </w:r>
    </w:p>
    <w:p>
      <w:pPr>
        <w:pStyle w:val="Tlotextu"/>
        <w:jc w:val="both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Název stavby/objektu:</w:t>
        <w:tab/>
        <w:tab/>
        <w:tab/>
        <w:tab/>
        <w:tab/>
        <w:t>Rekonstrukce mostu v km 21,510 na trati Tábor – Písek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Investor:</w:t>
        <w:tab/>
        <w:tab/>
        <w:tab/>
        <w:tab/>
        <w:tab/>
        <w:tab/>
        <w:tab/>
        <w:t>Správa železnic, státní organizace (IČO: 70994234)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Dlážděná 1003/7, Nové Město, 110 00 Praha 1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 xml:space="preserve"> </w:t>
      </w: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Stavební správa západ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Diamond Point, Ke Štvanici 656/3, 186 00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Praha 8 – Karlín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Kód organizační jednotky investora:</w:t>
        <w:tab/>
        <w:tab/>
        <w:t>61800</w:t>
      </w:r>
    </w:p>
    <w:p>
      <w:pPr>
        <w:pStyle w:val="Tlotextu"/>
        <w:jc w:val="both"/>
        <w:rPr>
          <w:color w:val="auto"/>
        </w:rPr>
      </w:pPr>
      <w:r>
        <w:rPr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Číslo smlouvy investora:</w:t>
        <w:tab/>
        <w:tab/>
        <w:tab/>
        <w:tab/>
        <w:t>E618-S-325/2021/PAL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Projektant:</w:t>
        <w:tab/>
        <w:tab/>
        <w:tab/>
        <w:tab/>
        <w:tab/>
        <w:tab/>
        <w:tab/>
        <w:t>TOP CON SERVIS s.r.o. (IČO: 45274983)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Varšavská 249/30, Vinohrady, 120 00 Praha 2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Provozovna a kanceláře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Ke Stírce 56, 182 00 Praha 8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Hlavní projektant: Ing. Matěj Mikšovský</w:t>
        <w:tab/>
        <w:tab/>
        <w:tab/>
        <w:tab/>
        <w:tab/>
        <w:tab/>
        <w:tab/>
        <w:tab/>
        <w:tab/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Specialista</w:t>
      </w:r>
      <w:r>
        <w:rPr>
          <w:b w:val="false"/>
          <w:bCs w:val="false"/>
          <w:color w:val="auto"/>
        </w:rPr>
        <w:t>: Ing. Libor Marek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Odpovědný projektant: Ing. Daniel Novotný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Zhotovitel záborového elaborátu:</w:t>
        <w:tab/>
        <w:tab/>
        <w:t>Geodézie Krkonoše s.r.o. (IČO: 49813081)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  <w:t>č.p. 599, 512 46 Harrachov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position w:val="0"/>
          <w:sz w:val="20"/>
          <w:sz w:val="20"/>
          <w:u w:val="none"/>
          <w:vertAlign w:val="baseline"/>
        </w:rPr>
        <w:tab/>
        <w:tab/>
        <w:tab/>
        <w:tab/>
        <w:tab/>
        <w:tab/>
        <w:tab/>
        <w:tab/>
        <w:tab/>
        <w:t>Středisko Vrchlabí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position w:val="0"/>
          <w:sz w:val="20"/>
          <w:sz w:val="20"/>
          <w:u w:val="none"/>
          <w:vertAlign w:val="baseline"/>
        </w:rPr>
        <w:tab/>
        <w:tab/>
        <w:tab/>
        <w:tab/>
        <w:tab/>
        <w:tab/>
        <w:tab/>
        <w:tab/>
        <w:tab/>
        <w:t>Lánovská 589, 543 01 Vrchlabí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position w:val="0"/>
          <w:sz w:val="20"/>
          <w:sz w:val="20"/>
          <w:u w:val="none"/>
          <w:vertAlign w:val="baseline"/>
        </w:rPr>
        <w:tab/>
        <w:tab/>
        <w:tab/>
        <w:tab/>
        <w:tab/>
        <w:tab/>
        <w:tab/>
        <w:tab/>
        <w:tab/>
        <w:t>Odpovědný pracovník: Ing. Vladimír Hlavsa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Ověřovatel záborového elaborátu:</w:t>
        <w:tab/>
        <w:tab/>
      </w:r>
      <w:r>
        <w:rPr>
          <w:b w:val="false"/>
          <w:bCs w:val="false"/>
          <w:color w:val="auto"/>
          <w:lang w:val="cs-CZ"/>
        </w:rPr>
        <w:t>Ing. Roman Čítek, ÚOZI č. 698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TÚ:</w:t>
        <w:tab/>
        <w:tab/>
        <w:tab/>
        <w:tab/>
        <w:tab/>
        <w:tab/>
        <w:tab/>
        <w:tab/>
        <w:tab/>
        <w:t>1811 Tábor - Písek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ab/>
        <w:tab/>
        <w:tab/>
        <w:tab/>
        <w:tab/>
        <w:tab/>
        <w:tab/>
        <w:tab/>
        <w:tab/>
      </w:r>
      <w:r>
        <w:rPr>
          <w:b w:val="false"/>
          <w:bCs w:val="false"/>
          <w:color w:val="auto"/>
          <w:sz w:val="20"/>
        </w:rPr>
        <w:t>v rozsahu staničení km 21</w:t>
      </w:r>
      <w:r>
        <w:rPr>
          <w:b w:val="false"/>
          <w:bCs w:val="false"/>
          <w:color w:val="auto"/>
          <w:sz w:val="20"/>
          <w:szCs w:val="20"/>
        </w:rPr>
        <w:t>,239 253 – 21,709 744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</w:rPr>
        <w:tab/>
        <w:tab/>
        <w:tab/>
        <w:tab/>
        <w:tab/>
        <w:tab/>
        <w:tab/>
        <w:tab/>
        <w:tab/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DÚ:</w:t>
        <w:tab/>
        <w:tab/>
        <w:tab/>
        <w:tab/>
        <w:tab/>
        <w:tab/>
        <w:tab/>
        <w:tab/>
        <w:tab/>
        <w:t>06 Božejovice – Sepekov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Stupeň dokumentace:</w:t>
        <w:tab/>
        <w:tab/>
        <w:tab/>
        <w:tab/>
        <w:tab/>
        <w:t>DUSP+PDPS</w:t>
      </w:r>
    </w:p>
    <w:p>
      <w:pPr>
        <w:pStyle w:val="Tlotextu"/>
        <w:jc w:val="both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2. Identifikace zájmového území pro záborový elaborát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5000" w:type="pct"/>
        <w:jc w:val="left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44"/>
        <w:gridCol w:w="8327"/>
      </w:tblGrid>
      <w:tr>
        <w:trPr/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Kraj:</w:t>
            </w:r>
          </w:p>
        </w:tc>
        <w:tc>
          <w:tcPr>
            <w:tcW w:w="8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Jihočeský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Okres: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Písek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Obec: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Sepekov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Katastrální území: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747602 - Sepekov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Příslušný katastrální úřad: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Katastrální úřad pro Jihočeský kraj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Lidická tř. 124/11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České Budějovice 7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37086 České Budějovice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Příslušné katastrální pracoviště: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Katastrální pracoviště Písek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Nádražní 1988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Budějovické Předměstí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39701 Písek</w:t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10772" w:type="dxa"/>
        <w:jc w:val="left"/>
        <w:tblInd w:w="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44"/>
        <w:gridCol w:w="8327"/>
      </w:tblGrid>
      <w:tr>
        <w:trPr/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Kraj:</w:t>
            </w:r>
          </w:p>
        </w:tc>
        <w:tc>
          <w:tcPr>
            <w:tcW w:w="8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Jihočeský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Okres: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Písek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Obec: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Božetice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Katastrální území: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608840 - Božetice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/>
            </w:pPr>
            <w:r>
              <w:rPr/>
              <w:t>Příslušný katastrální úřad: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Katastrální úřad pro Jihočeský kraj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Lidická tř. 124/11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České Budějovice 7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37086 České Budějovice</w:t>
            </w:r>
          </w:p>
        </w:tc>
      </w:tr>
      <w:tr>
        <w:trPr/>
        <w:tc>
          <w:tcPr>
            <w:tcW w:w="24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Příslušné katastrální pracoviště:</w:t>
            </w:r>
          </w:p>
        </w:tc>
        <w:tc>
          <w:tcPr>
            <w:tcW w:w="8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Katastrální pracoviště Písek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Nádražní 1988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Budějovické Předměstí</w:t>
            </w:r>
          </w:p>
          <w:p>
            <w:pPr>
              <w:pStyle w:val="Tlotextu"/>
              <w:widowControl w:val="false"/>
              <w:jc w:val="both"/>
              <w:rPr>
                <w:b w:val="false"/>
                <w:b w:val="false"/>
                <w:bCs w:val="false"/>
                <w:color w:val="auto"/>
                <w:sz w:val="20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39701 Písek</w:t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Grafické podklady – soubor geodetických informací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 xml:space="preserve">k.ú. </w:t>
      </w:r>
      <w:r>
        <w:rPr>
          <w:b w:val="false"/>
          <w:bCs w:val="false"/>
          <w:sz w:val="20"/>
        </w:rPr>
        <w:t>Sepekov</w:t>
      </w:r>
      <w:r>
        <w:rPr>
          <w:b w:val="false"/>
          <w:bCs w:val="false"/>
        </w:rPr>
        <w:tab/>
        <w:tab/>
        <w:t>- DKM 1:1000</w:t>
        <w:tab/>
        <w:tab/>
        <w:tab/>
        <w:t>Platnost dat 21</w:t>
      </w:r>
      <w:r>
        <w:rPr>
          <w:b w:val="false"/>
          <w:bCs w:val="false"/>
          <w:color w:val="auto"/>
          <w:sz w:val="20"/>
        </w:rPr>
        <w:t>.6.2022</w:t>
      </w:r>
    </w:p>
    <w:p>
      <w:pPr>
        <w:pStyle w:val="Tlotextu"/>
        <w:jc w:val="both"/>
        <w:rPr>
          <w:b/>
          <w:b/>
          <w:bCs/>
        </w:rPr>
      </w:pPr>
      <w:r>
        <w:rPr>
          <w:b w:val="false"/>
          <w:bCs w:val="false"/>
          <w:color w:val="auto"/>
          <w:sz w:val="20"/>
        </w:rPr>
        <w:t>k.ú. Božetice</w:t>
        <w:tab/>
        <w:tab/>
        <w:t>- KMD 1:1000</w:t>
        <w:tab/>
        <w:tab/>
        <w:tab/>
        <w:t>Platnost dat 21.6.2022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color w:val="auto"/>
          <w:sz w:val="20"/>
          <w:szCs w:val="20"/>
        </w:rPr>
      </w:pPr>
      <w:r>
        <w:rPr>
          <w:b w:val="false"/>
          <w:bCs w:val="false"/>
          <w:color w:val="auto"/>
          <w:sz w:val="20"/>
          <w:szCs w:val="20"/>
        </w:rPr>
      </w:r>
    </w:p>
    <w:p>
      <w:pPr>
        <w:pStyle w:val="Tlotextu"/>
        <w:jc w:val="both"/>
        <w:rPr>
          <w:color w:val="auto"/>
        </w:rPr>
      </w:pPr>
      <w:r>
        <w:rPr>
          <w:b/>
          <w:bCs/>
          <w:color w:val="auto"/>
        </w:rPr>
        <w:t>Písemné podklady – Informace ze souboru popisných informací katastru nemovitostí</w:t>
      </w:r>
    </w:p>
    <w:p>
      <w:pPr>
        <w:pStyle w:val="Tlotextu"/>
        <w:jc w:val="both"/>
        <w:rPr>
          <w:b w:val="false"/>
          <w:b w:val="false"/>
          <w:bCs w:val="false"/>
          <w:color w:val="FF0000"/>
        </w:rPr>
      </w:pPr>
      <w:r>
        <w:rPr>
          <w:b w:val="false"/>
          <w:bCs w:val="false"/>
          <w:color w:val="FF0000"/>
        </w:rPr>
      </w:r>
    </w:p>
    <w:p>
      <w:pPr>
        <w:pStyle w:val="Tlotextu"/>
        <w:jc w:val="both"/>
        <w:rPr/>
      </w:pPr>
      <w:r>
        <w:rPr>
          <w:b w:val="false"/>
          <w:bCs w:val="false"/>
          <w:color w:val="000000"/>
          <w:shd w:fill="auto" w:val="clear"/>
        </w:rPr>
        <w:t>Informace o pozemcích a vlastnících pro záborový elaborát byly pořízeny dne 2</w:t>
      </w:r>
      <w:r>
        <w:rPr>
          <w:b w:val="false"/>
          <w:bCs w:val="false"/>
          <w:color w:val="000000"/>
          <w:sz w:val="20"/>
          <w:shd w:fill="auto" w:val="clear"/>
        </w:rPr>
        <w:t>1</w:t>
      </w:r>
      <w:r>
        <w:rPr>
          <w:b w:val="false"/>
          <w:bCs w:val="false"/>
          <w:color w:val="000000"/>
          <w:shd w:fill="auto" w:val="clear"/>
        </w:rPr>
        <w:t>.</w:t>
      </w:r>
      <w:r>
        <w:rPr>
          <w:b w:val="false"/>
          <w:bCs w:val="false"/>
          <w:color w:val="000000"/>
          <w:sz w:val="20"/>
          <w:shd w:fill="auto" w:val="clear"/>
        </w:rPr>
        <w:t>6</w:t>
      </w:r>
      <w:r>
        <w:rPr>
          <w:b w:val="false"/>
          <w:bCs w:val="false"/>
          <w:color w:val="000000"/>
          <w:shd w:fill="auto" w:val="clear"/>
        </w:rPr>
        <w:t>.2022 elektronicky v internetové aplikaci Nahlížení do katastru nemovitostí (</w:t>
      </w:r>
      <w:hyperlink r:id="rId2">
        <w:r>
          <w:rPr>
            <w:rStyle w:val="Internetovodkaz"/>
            <w:b w:val="false"/>
            <w:bCs w:val="false"/>
            <w:shd w:fill="auto" w:val="clear"/>
          </w:rPr>
          <w:t>http://nahlizenidokn.cuzk.cz/</w:t>
        </w:r>
      </w:hyperlink>
      <w:r>
        <w:rPr>
          <w:b w:val="false"/>
          <w:bCs w:val="false"/>
          <w:color w:val="000000"/>
          <w:shd w:fill="auto" w:val="clear"/>
        </w:rPr>
        <w:t>).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Vzhledem k plánované délce trvání stavby jsou všechny uvedené a vyznačené dočasné zábory v části „N.1.5.2 Majetkoprávní část (záborový elaborát)“ v délce trvání do 1 roku.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Seznam pozemků dotčených stavbou, členěný dle jednotlivých katastrálních území, včetně bilance ploch podle  katastrálních území – viz příloha N.1.5.2.3 TAB_SEPEKOV_06_2022.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  <w:sz w:val="20"/>
        </w:rPr>
        <w:t>3. Seznam pozemků dotčených stavbou s existencí věcného břemene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5000" w:type="pct"/>
        <w:jc w:val="left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3"/>
        <w:gridCol w:w="1416"/>
        <w:gridCol w:w="2785"/>
        <w:gridCol w:w="4817"/>
      </w:tblGrid>
      <w:tr>
        <w:trPr/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Obsahtabulky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Katastrální území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Tlotextu"/>
              <w:widowControl w:val="false"/>
              <w:jc w:val="left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Parcelní číslo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Tlotextu"/>
              <w:widowControl w:val="false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Věcné břemeno do stavby</w:t>
            </w:r>
          </w:p>
          <w:p>
            <w:pPr>
              <w:pStyle w:val="Tlotextu"/>
              <w:widowControl w:val="false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zasahuje / nezasahuje</w:t>
            </w:r>
          </w:p>
        </w:tc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Tlotextu"/>
              <w:widowControl w:val="false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Omezení funkčnosti VB stavbou nebo záborem</w:t>
            </w:r>
          </w:p>
          <w:p>
            <w:pPr>
              <w:pStyle w:val="Tlotextu"/>
              <w:widowControl w:val="false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je / není</w:t>
            </w:r>
          </w:p>
        </w:tc>
      </w:tr>
      <w:tr>
        <w:trPr/>
        <w:tc>
          <w:tcPr>
            <w:tcW w:w="17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  <w:sz w:val="20"/>
              </w:rPr>
              <w:t>Sepekov</w:t>
            </w: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  <w:sz w:val="20"/>
              </w:rPr>
              <w:t>3181</w:t>
            </w:r>
          </w:p>
        </w:tc>
        <w:tc>
          <w:tcPr>
            <w:tcW w:w="27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nezasahuje</w:t>
            </w:r>
          </w:p>
        </w:tc>
        <w:tc>
          <w:tcPr>
            <w:tcW w:w="48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funkčnost není omezena záborem/stavbou</w:t>
            </w:r>
          </w:p>
        </w:tc>
      </w:tr>
      <w:tr>
        <w:trPr/>
        <w:tc>
          <w:tcPr>
            <w:tcW w:w="17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b/>
                <w:b/>
                <w:bCs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Božetice</w:t>
            </w: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color w:val="auto"/>
              </w:rPr>
              <w:t>2061/1</w:t>
            </w:r>
          </w:p>
        </w:tc>
        <w:tc>
          <w:tcPr>
            <w:tcW w:w="27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nezasahuje</w:t>
            </w:r>
          </w:p>
        </w:tc>
        <w:tc>
          <w:tcPr>
            <w:tcW w:w="48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lotextu"/>
              <w:widowControl w:val="false"/>
              <w:jc w:val="both"/>
              <w:rPr>
                <w:color w:val="auto"/>
              </w:rPr>
            </w:pPr>
            <w:r>
              <w:rPr>
                <w:b w:val="false"/>
                <w:bCs w:val="false"/>
                <w:color w:val="auto"/>
                <w:sz w:val="20"/>
              </w:rPr>
              <w:t>funkčnost není omezena záborem/stavbou</w:t>
            </w:r>
          </w:p>
        </w:tc>
      </w:tr>
    </w:tbl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b/>
          <w:bCs/>
          <w:sz w:val="20"/>
          <w:szCs w:val="20"/>
        </w:rPr>
        <w:t>4. Seznam stavebních objektů: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b w:val="false"/>
          <w:bCs w:val="false"/>
          <w:sz w:val="20"/>
          <w:szCs w:val="20"/>
        </w:rPr>
        <w:t>- SO 11-00-01 Železniční svršek a spodek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- SO 11-20-01 Rekonstrukce mostu v km 21,510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b w:val="false"/>
          <w:bCs w:val="false"/>
          <w:sz w:val="20"/>
          <w:szCs w:val="20"/>
        </w:rPr>
        <w:t>- SO 11-30-01 Přeložky vedení SŽ - SSZT a CTD</w:t>
      </w:r>
    </w:p>
    <w:p>
      <w:pPr>
        <w:pStyle w:val="Tlotextu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left"/>
        <w:rPr>
          <w:color w:val="auto"/>
        </w:rPr>
      </w:pPr>
      <w:r>
        <w:rPr>
          <w:color w:val="auto"/>
        </w:rPr>
      </w:r>
    </w:p>
    <w:p>
      <w:pPr>
        <w:pStyle w:val="Normal"/>
        <w:jc w:val="left"/>
        <w:rPr>
          <w:color w:val="auto"/>
        </w:rPr>
      </w:pPr>
      <w:r>
        <w:rPr>
          <w:color w:val="auto"/>
        </w:rPr>
      </w:r>
    </w:p>
    <w:p>
      <w:pPr>
        <w:pStyle w:val="Normal"/>
        <w:jc w:val="left"/>
        <w:rPr>
          <w:color w:val="auto"/>
        </w:rPr>
      </w:pPr>
      <w:r>
        <w:rPr>
          <w:color w:val="auto"/>
        </w:rPr>
      </w:r>
    </w:p>
    <w:p>
      <w:pPr>
        <w:pStyle w:val="Normal"/>
        <w:jc w:val="left"/>
        <w:rPr>
          <w:color w:val="auto"/>
        </w:rPr>
      </w:pPr>
      <w:r>
        <w:rPr>
          <w:color w:val="auto"/>
        </w:rPr>
      </w:r>
    </w:p>
    <w:p>
      <w:pPr>
        <w:pStyle w:val="Normal"/>
        <w:jc w:val="left"/>
        <w:rPr>
          <w:color w:val="auto"/>
        </w:rPr>
      </w:pPr>
      <w:r>
        <w:rPr>
          <w:rFonts w:ascii="Arial" w:hAnsi="Arial"/>
          <w:b w:val="false"/>
          <w:bCs w:val="false"/>
          <w:color w:val="auto"/>
          <w:sz w:val="20"/>
          <w:szCs w:val="20"/>
        </w:rPr>
        <w:t xml:space="preserve">Další informace viz ostatní části geodetické dokumentace: 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N.1.5.1 Technická zpráva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N.1.5.2 Majetkoprávní část (záborový elaborát)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N.1.5.3 Návrh vytyčovací sítě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N.1.5.4 Koordinační vytyčovací výkres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N.1.5.5 Obvod stavby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N.1.5.6 Geodetické a mapové podklady</w:t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lotextu"/>
        <w:jc w:val="both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4838065</wp:posOffset>
            </wp:positionH>
            <wp:positionV relativeFrom="paragraph">
              <wp:posOffset>66040</wp:posOffset>
            </wp:positionV>
            <wp:extent cx="1733550" cy="373380"/>
            <wp:effectExtent l="0" t="0" r="0" b="0"/>
            <wp:wrapSquare wrapText="left"/>
            <wp:docPr id="2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 w:val="false"/>
          <w:bCs w:val="false"/>
        </w:rPr>
        <w:t>Ve Vrchlabí 2</w:t>
      </w:r>
      <w:r>
        <w:rPr>
          <w:b w:val="false"/>
          <w:bCs w:val="false"/>
          <w:sz w:val="20"/>
        </w:rPr>
        <w:t>1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6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2022</w:t>
      </w:r>
      <w:r>
        <w:rPr>
          <w:b w:val="false"/>
          <w:bCs w:val="fals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Ing. Vladimír Hlavsa</w:t>
      </w:r>
    </w:p>
    <w:p>
      <w:pPr>
        <w:pStyle w:val="Tlotextu"/>
        <w:jc w:val="both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</w:r>
    </w:p>
    <w:p>
      <w:pPr>
        <w:pStyle w:val="Tlotextu"/>
        <w:jc w:val="both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</w:r>
    </w:p>
    <w:p>
      <w:pPr>
        <w:pStyle w:val="Tlotextu"/>
        <w:jc w:val="both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</w:r>
    </w:p>
    <w:p>
      <w:pPr>
        <w:pStyle w:val="Tlotextu"/>
        <w:jc w:val="both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</w:r>
    </w:p>
    <w:p>
      <w:pPr>
        <w:pStyle w:val="Tlotextu"/>
        <w:jc w:val="center"/>
        <w:rPr>
          <w:b/>
          <w:b/>
          <w:bCs/>
        </w:rPr>
      </w:pPr>
      <w:r>
        <w:rPr>
          <w:b/>
          <w:bCs/>
        </w:rPr>
        <w:t>Náležitostmi a přesností odpovídá právním předpisům a podmínkám písemně dohodnutým s objednatelem.</w:t>
      </w:r>
    </w:p>
    <w:p>
      <w:pPr>
        <w:pStyle w:val="Tlotextu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Evidenční číslo ověření:</w:t>
        <w:tab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Datum ověření:</w:t>
        <w:tab/>
        <w:tab/>
        <w:tab/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Pedvacprotokoltext"/>
        <w:jc w:val="center"/>
        <w:rPr>
          <w:lang w:val="cs-CZ"/>
        </w:rPr>
      </w:pPr>
      <w:r>
        <w:rPr>
          <w:lang w:val="cs-CZ"/>
        </w:rPr>
        <w:t>Ing. Roman Čítek</w:t>
      </w:r>
    </w:p>
    <w:p>
      <w:pPr>
        <w:pStyle w:val="Pedvacprotokoltext"/>
        <w:jc w:val="center"/>
        <w:rPr>
          <w:lang w:val="cs-CZ"/>
        </w:rPr>
      </w:pPr>
      <w:r>
        <w:rPr>
          <w:lang w:val="cs-CZ"/>
        </w:rPr>
        <w:t>oprávněn ověřovat výsledky zeměměřických činností</w:t>
      </w:r>
    </w:p>
    <w:p>
      <w:pPr>
        <w:pStyle w:val="Tlotextu"/>
        <w:jc w:val="center"/>
        <w:rPr>
          <w:b w:val="false"/>
          <w:b w:val="false"/>
          <w:bCs w:val="false"/>
          <w:lang w:val="cs-CZ"/>
        </w:rPr>
      </w:pPr>
      <w:r>
        <w:rPr>
          <w:b w:val="false"/>
          <w:bCs w:val="false"/>
          <w:lang w:val="cs-CZ"/>
        </w:rPr>
        <w:t>dle §13 odst.1 písmena c) zákona číslo 200/1994 Sb.</w:t>
      </w:r>
    </w:p>
    <w:sectPr>
      <w:headerReference w:type="default" r:id="rId4"/>
      <w:footerReference w:type="default" r:id="rId5"/>
      <w:type w:val="nextPage"/>
      <w:pgSz w:w="11906" w:h="16838"/>
      <w:pgMar w:left="567" w:right="567" w:gutter="0" w:header="425" w:top="539" w:footer="425" w:bottom="765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jc w:val="left"/>
      <w:rPr/>
    </w:pPr>
    <w:r>
      <w:rPr>
        <w:rFonts w:ascii="Arial" w:hAnsi="Arial"/>
        <w:i w:val="false"/>
        <w:iCs w:val="false"/>
        <w:sz w:val="16"/>
        <w:szCs w:val="16"/>
      </w:rPr>
      <w:t xml:space="preserve">  </w:t>
    </w:r>
    <w:r>
      <w:rPr>
        <w:rFonts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ascii="Arial" w:hAnsi="Arial"/>
      </w:rPr>
      <w:fldChar w:fldCharType="separate"/>
    </w:r>
    <w:r>
      <w:rPr>
        <w:sz w:val="16"/>
        <w:i w:val="false"/>
        <w:szCs w:val="16"/>
        <w:iCs w:val="false"/>
        <w:rFonts w:ascii="Arial" w:hAnsi="Arial"/>
      </w:rPr>
      <w:t>4</w:t>
    </w:r>
    <w:r>
      <w:rPr>
        <w:sz w:val="16"/>
        <w:i w:val="false"/>
        <w:szCs w:val="16"/>
        <w:iCs w:val="false"/>
        <w:rFonts w:ascii="Arial" w:hAnsi="Arial"/>
      </w:rPr>
      <w:fldChar w:fldCharType="end"/>
    </w:r>
    <w:r>
      <w:rPr>
        <w:rFonts w:ascii="Arial" w:hAnsi="Arial"/>
        <w:i w:val="false"/>
        <w:iCs w:val="false"/>
        <w:sz w:val="16"/>
        <w:szCs w:val="16"/>
      </w:rPr>
      <w:t>/</w:t>
    </w:r>
    <w:r>
      <w:rPr>
        <w:rFonts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ascii="Arial" w:hAnsi="Arial"/>
      </w:rPr>
      <w:fldChar w:fldCharType="separate"/>
    </w:r>
    <w:r>
      <w:rPr>
        <w:sz w:val="16"/>
        <w:i w:val="false"/>
        <w:szCs w:val="16"/>
        <w:iCs w:val="false"/>
        <w:rFonts w:ascii="Arial" w:hAnsi="Arial"/>
      </w:rPr>
      <w:t>4</w:t>
    </w:r>
    <w:r>
      <w:rPr>
        <w:sz w:val="16"/>
        <w:i w:val="false"/>
        <w:szCs w:val="16"/>
        <w:iCs w:val="false"/>
        <w:rFonts w:ascii="Arial" w:hAnsi="Arial"/>
      </w:rPr>
      <w:fldChar w:fldCharType="end"/>
    </w:r>
  </w:p>
  <w:p>
    <w:pPr>
      <w:pStyle w:val="Zpat"/>
      <w:suppressLineNumbers/>
      <w:jc w:val="left"/>
      <w:rPr>
        <w:rFonts w:ascii="Arial" w:hAnsi="Arial"/>
        <w:i w:val="false"/>
        <w:i w:val="false"/>
        <w:iCs w:val="false"/>
        <w:sz w:val="16"/>
        <w:szCs w:val="16"/>
      </w:rPr>
    </w:pPr>
    <w:r>
      <w:rPr>
        <w:rFonts w:ascii="Arial" w:hAnsi="Arial"/>
        <w:i w:val="false"/>
        <w:iCs w:val="false"/>
        <w:sz w:val="16"/>
        <w:szCs w:val="16"/>
      </w:rPr>
      <w:t xml:space="preserve">  </w:t>
    </w:r>
    <w:r>
      <w:rPr>
        <w:rFonts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jc w:val="left"/>
      <w:rPr/>
    </w:pPr>
    <w:r>
      <w:rPr/>
      <w:drawing>
        <wp:inline distT="0" distB="0" distL="0" distR="0">
          <wp:extent cx="1811020" cy="408305"/>
          <wp:effectExtent l="0" t="0" r="0" b="0"/>
          <wp:docPr id="3" name="obrázky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ky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11020" cy="408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4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sz w:val="24"/>
        <w:szCs w:val="24"/>
        <w:lang w:val="cs-CZ" w:eastAsia="cs-CZ" w:bidi="cs-CZ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tabs>
        <w:tab w:val="clear" w:pos="408"/>
      </w:tabs>
      <w:spacing w:before="170" w:after="57"/>
      <w:jc w:val="left"/>
      <w:outlineLvl w:val="0"/>
    </w:pPr>
    <w:rPr>
      <w:rFonts w:ascii="Arial" w:hAnsi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tabs>
        <w:tab w:val="clear" w:pos="408"/>
      </w:tabs>
      <w:spacing w:lineRule="auto" w:line="240" w:before="57" w:after="170"/>
      <w:ind w:left="57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tabs>
        <w:tab w:val="clear" w:pos="408"/>
      </w:tabs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tabs>
        <w:tab w:val="clear" w:pos="408"/>
      </w:tabs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" w:hAnsi="StarSymbol" w:eastAsia="StarSymbol" w:cs="StarSymbol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character" w:styleId="ZkladntextodsazenChar">
    <w:name w:val="Základní text odsazený Char"/>
    <w:qFormat/>
    <w:rPr>
      <w:sz w:val="24"/>
    </w:rPr>
  </w:style>
  <w:style w:type="character" w:styleId="Nadpis4Char">
    <w:name w:val="Nadpis 4 Char"/>
    <w:qFormat/>
    <w:rPr>
      <w:rFonts w:ascii="Calibri" w:hAnsi="Calibri" w:eastAsia="Times New Roman"/>
      <w:b/>
      <w:sz w:val="28"/>
    </w:rPr>
  </w:style>
  <w:style w:type="character" w:styleId="PodtitulChar">
    <w:name w:val="Podtitul Char"/>
    <w:qFormat/>
    <w:rPr>
      <w:rFonts w:ascii="Calibri Light" w:hAnsi="Calibri Light" w:eastAsia="Times New Roman"/>
      <w:sz w:val="24"/>
    </w:rPr>
  </w:style>
  <w:style w:type="character" w:styleId="NzevChar">
    <w:name w:val="Název Char"/>
    <w:qFormat/>
    <w:rPr>
      <w:rFonts w:ascii="Calibri Light" w:hAnsi="Calibri Light" w:eastAsia="Times New Roman"/>
      <w:b/>
      <w:kern w:val="2"/>
      <w:sz w:val="32"/>
    </w:rPr>
  </w:style>
  <w:style w:type="character" w:styleId="Standardnpsmoodstavce">
    <w:name w:val="Standardní písmo odstavce"/>
    <w:qFormat/>
    <w:rPr/>
  </w:style>
  <w:style w:type="character" w:styleId="WW8Num4z3">
    <w:name w:val="WW8Num4z3"/>
    <w:qFormat/>
    <w:rPr>
      <w:rFonts w:ascii="Symbol" w:hAnsi="Symbol" w:eastAsia="Symbol"/>
    </w:rPr>
  </w:style>
  <w:style w:type="character" w:styleId="WW8Num4z2">
    <w:name w:val="WW8Num4z2"/>
    <w:qFormat/>
    <w:rPr>
      <w:rFonts w:ascii="Wingdings" w:hAnsi="Wingdings" w:eastAsia="Wingdings"/>
    </w:rPr>
  </w:style>
  <w:style w:type="character" w:styleId="WW8Num4z1">
    <w:name w:val="WW8Num4z1"/>
    <w:qFormat/>
    <w:rPr>
      <w:rFonts w:ascii="Courier New" w:hAnsi="Courier New" w:eastAsia="Courier New"/>
    </w:rPr>
  </w:style>
  <w:style w:type="character" w:styleId="WW8Num4z0">
    <w:name w:val="WW8Num4z0"/>
    <w:qFormat/>
    <w:rPr>
      <w:rFonts w:ascii="Times New Roman" w:hAnsi="Times New Roman" w:eastAsia="Times New Roman"/>
    </w:rPr>
  </w:style>
  <w:style w:type="character" w:styleId="WW8Num3z3">
    <w:name w:val="WW8Num3z3"/>
    <w:qFormat/>
    <w:rPr>
      <w:rFonts w:ascii="Symbol" w:hAnsi="Symbol" w:eastAsia="Symbol"/>
    </w:rPr>
  </w:style>
  <w:style w:type="character" w:styleId="WW8Num3z2">
    <w:name w:val="WW8Num3z2"/>
    <w:qFormat/>
    <w:rPr>
      <w:rFonts w:ascii="Wingdings" w:hAnsi="Wingdings" w:eastAsia="Wingdings"/>
    </w:rPr>
  </w:style>
  <w:style w:type="character" w:styleId="WW8Num3z1">
    <w:name w:val="WW8Num3z1"/>
    <w:qFormat/>
    <w:rPr>
      <w:rFonts w:ascii="Courier New" w:hAnsi="Courier New" w:eastAsia="Courier New"/>
    </w:rPr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Navtveninternetovodkaz">
    <w:name w:val="Navštívený internetový odkaz"/>
    <w:rPr>
      <w:color w:val="80000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tabs>
        <w:tab w:val="clear" w:pos="408"/>
      </w:tabs>
      <w:suppressAutoHyphens w:val="false"/>
      <w:spacing w:before="0" w:after="0"/>
      <w:ind w:left="57" w:right="0" w:hanging="0"/>
    </w:pPr>
    <w:rPr>
      <w:rFonts w:ascii="Arial" w:hAnsi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autoRedefine/>
    <w:pPr>
      <w:suppressLineNumbers/>
      <w:pBdr>
        <w:bottom w:val="single" w:sz="2" w:space="0" w:color="000080"/>
      </w:pBdr>
      <w:tabs>
        <w:tab w:val="clear" w:pos="408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12420" w:leader="none"/>
        <w:tab w:val="left" w:pos="19575" w:leader="none"/>
      </w:tabs>
      <w:jc w:val="left"/>
    </w:pPr>
    <w:rPr>
      <w:rFonts w:ascii="Arial" w:hAnsi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408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autoRedefine/>
    <w:pPr>
      <w:suppressLineNumbers/>
      <w:pBdr>
        <w:top w:val="single" w:sz="2" w:space="3" w:color="000080"/>
      </w:pBdr>
      <w:tabs>
        <w:tab w:val="clear" w:pos="408"/>
        <w:tab w:val="center" w:pos="5074" w:leader="none"/>
        <w:tab w:val="left" w:pos="9810" w:leader="none"/>
        <w:tab w:val="left" w:pos="14625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tabs>
        <w:tab w:val="clear" w:pos="408"/>
      </w:tabs>
      <w:jc w:val="center"/>
    </w:pPr>
    <w:rPr>
      <w:rFonts w:ascii="Arial" w:hAnsi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Text">
    <w:name w:val="Text"/>
    <w:qFormat/>
    <w:pPr>
      <w:widowControl w:val="false"/>
      <w:suppressAutoHyphens w:val="true"/>
      <w:overflowPunct w:val="tru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Nadpisrejstku">
    <w:name w:val="Index Heading"/>
    <w:basedOn w:val="Nadpis"/>
    <w:pPr>
      <w:suppressLineNumbers/>
      <w:ind w:left="0" w:right="0" w:hanging="0"/>
    </w:pPr>
    <w:rPr>
      <w:b/>
      <w:bCs/>
      <w:sz w:val="32"/>
      <w:szCs w:val="32"/>
    </w:rPr>
  </w:style>
  <w:style w:type="paragraph" w:styleId="Nadpisobsahu">
    <w:name w:val="TOC Heading"/>
    <w:basedOn w:val="Nadpis"/>
    <w:pPr>
      <w:suppressLineNumbers/>
      <w:tabs>
        <w:tab w:val="clear" w:pos="408"/>
      </w:tabs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1">
    <w:name w:val="TOC 1"/>
    <w:basedOn w:val="Obsah"/>
    <w:next w:val="Obsah2"/>
    <w:pPr>
      <w:tabs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408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tabs>
        <w:tab w:val="clear" w:pos="408"/>
      </w:tabs>
      <w:jc w:val="center"/>
    </w:pPr>
    <w:rPr>
      <w:rFonts w:ascii="Arial" w:hAnsi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tabs>
        <w:tab w:val="clear" w:pos="408"/>
      </w:tabs>
      <w:jc w:val="center"/>
      <w:textAlignment w:val="center"/>
    </w:pPr>
    <w:rPr>
      <w:rFonts w:ascii="Arial" w:hAnsi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autoRedefine/>
    <w:qFormat/>
    <w:pPr>
      <w:tabs>
        <w:tab w:val="clear" w:pos="408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Pedvacprotokoltext">
    <w:name w:val="Předávací protokol - text"/>
    <w:basedOn w:val="Text"/>
    <w:qFormat/>
    <w:pPr>
      <w:tabs>
        <w:tab w:val="clear" w:pos="408"/>
      </w:tabs>
      <w:spacing w:before="0" w:after="0"/>
      <w:ind w:left="28" w:right="0" w:hanging="0"/>
    </w:pPr>
    <w:rPr/>
  </w:style>
  <w:style w:type="numbering" w:styleId="Odrka">
    <w:name w:val="Odrážka •"/>
    <w:qFormat/>
  </w:style>
  <w:style w:type="numbering" w:styleId="Odrka1">
    <w:name w:val="Odrážka –"/>
    <w:qFormat/>
  </w:style>
  <w:style w:type="numbering" w:styleId="Odrka2">
    <w:name w:val="Odrážka "/>
    <w:qFormat/>
  </w:style>
  <w:style w:type="numbering" w:styleId="Odrka3">
    <w:name w:val="Odrážka "/>
    <w:qFormat/>
  </w:style>
  <w:style w:type="numbering" w:styleId="Numbering1">
    <w:name w:val="Numbering 1"/>
    <w:qFormat/>
  </w:style>
  <w:style w:type="numbering" w:styleId="Numbering2">
    <w:name w:val="Numbering 2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  <w:style w:type="numbering" w:styleId="WW8Num23">
    <w:name w:val="WW8Num23"/>
    <w:qFormat/>
  </w:style>
  <w:style w:type="numbering" w:styleId="WW8Num12">
    <w:name w:val="WW8Num12"/>
    <w:qFormat/>
  </w:style>
  <w:style w:type="numbering" w:styleId="WW8Num2">
    <w:name w:val="WW8Num2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ahlizenidokn.cuzk.cz/" TargetMode="External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5411</TotalTime>
  <Application>LibreOffice/7.3.2.2$Windows_X86_64 LibreOffice_project/49f2b1bff42cfccbd8f788c8dc32c1c309559be0</Application>
  <AppVersion>15.0000</AppVersion>
  <Pages>4</Pages>
  <Words>539</Words>
  <Characters>3421</Characters>
  <CharactersWithSpaces>4109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2006-03-12T15:30:24Z</dcterms:created>
  <dc:creator>Martin Bukvic</dc:creator>
  <dc:description/>
  <dc:language>cs-CZ</dc:language>
  <cp:lastModifiedBy/>
  <cp:lastPrinted>2014-07-01T11:34:05Z</cp:lastPrinted>
  <dcterms:modified xsi:type="dcterms:W3CDTF">2022-06-24T13:05:45Z</dcterms:modified>
  <cp:revision>327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